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694190" w:rsidRPr="00A231F1" w14:paraId="7CA8E092" w14:textId="77777777" w:rsidTr="007E1F28">
        <w:trPr>
          <w:trHeight w:val="1465"/>
          <w:jc w:val="center"/>
        </w:trPr>
        <w:tc>
          <w:tcPr>
            <w:tcW w:w="5040" w:type="dxa"/>
            <w:vAlign w:val="center"/>
          </w:tcPr>
          <w:p w14:paraId="1179E547" w14:textId="77777777" w:rsidR="00694190" w:rsidRPr="00A231F1" w:rsidRDefault="00694190" w:rsidP="006120A7">
            <w:pPr>
              <w:jc w:val="center"/>
              <w:rPr>
                <w:rFonts w:cs="Arial"/>
                <w:color w:val="000000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color w:val="000000"/>
                <w:sz w:val="22"/>
                <w:szCs w:val="22"/>
                <w:lang w:val="el-GR" w:eastAsia="el-GR"/>
              </w:rPr>
              <w:drawing>
                <wp:inline distT="0" distB="0" distL="0" distR="0" wp14:anchorId="7B9C41DC" wp14:editId="34979713">
                  <wp:extent cx="752475" cy="771525"/>
                  <wp:effectExtent l="19050" t="0" r="9525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14:paraId="0C5D91A3" w14:textId="77777777" w:rsidR="00694190" w:rsidRPr="00A231F1" w:rsidRDefault="00694190" w:rsidP="006120A7">
            <w:pPr>
              <w:ind w:left="-70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68B7B03" wp14:editId="1FFAE407">
                  <wp:extent cx="2533650" cy="8858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90" w:rsidRPr="003054C9" w14:paraId="35874497" w14:textId="77777777" w:rsidTr="007E1F28">
        <w:trPr>
          <w:jc w:val="center"/>
        </w:trPr>
        <w:tc>
          <w:tcPr>
            <w:tcW w:w="5040" w:type="dxa"/>
            <w:vAlign w:val="center"/>
          </w:tcPr>
          <w:p w14:paraId="75BC3061" w14:textId="77777777" w:rsidR="00694190" w:rsidRPr="00A231F1" w:rsidRDefault="00694190" w:rsidP="006120A7">
            <w:pPr>
              <w:pStyle w:val="Heading1"/>
              <w:spacing w:line="360" w:lineRule="auto"/>
              <w:rPr>
                <w:bCs/>
                <w:sz w:val="22"/>
                <w:szCs w:val="22"/>
              </w:rPr>
            </w:pPr>
            <w:r w:rsidRPr="00A231F1">
              <w:rPr>
                <w:bCs/>
                <w:sz w:val="22"/>
                <w:szCs w:val="22"/>
              </w:rPr>
              <w:t>ΚΥΠΡΙΑΚΗ ΔΗΜΟΚΡΑΤΙΑ</w:t>
            </w:r>
          </w:p>
          <w:p w14:paraId="4F98F671" w14:textId="77777777" w:rsidR="002242BA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 xml:space="preserve">ΥΠΟΥΡΓΕΙΟ </w:t>
            </w:r>
          </w:p>
          <w:p w14:paraId="3A333AF9" w14:textId="77777777" w:rsidR="00694190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>ΜΕΤΑΦΟΡΩΝ, ΕΠΙΚΟΙΝΩΝΙΩΝ ΚΑΙ ΕΡΓΩΝ</w:t>
            </w:r>
          </w:p>
        </w:tc>
        <w:tc>
          <w:tcPr>
            <w:tcW w:w="4560" w:type="dxa"/>
          </w:tcPr>
          <w:p w14:paraId="5A6A27D7" w14:textId="77777777" w:rsidR="00694190" w:rsidRPr="00A231F1" w:rsidRDefault="00694190" w:rsidP="006120A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14:paraId="215F1466" w14:textId="77777777" w:rsidR="00694190" w:rsidRPr="00A231F1" w:rsidRDefault="00694190" w:rsidP="00694190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  <w:lang w:val="el-GR"/>
        </w:rPr>
      </w:pPr>
    </w:p>
    <w:tbl>
      <w:tblPr>
        <w:tblW w:w="9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458"/>
      </w:tblGrid>
      <w:tr w:rsidR="00EA5E3A" w:rsidRPr="008D2FCB" w14:paraId="2DBBC57D" w14:textId="77777777" w:rsidTr="001029B8">
        <w:trPr>
          <w:trHeight w:val="429"/>
        </w:trPr>
        <w:tc>
          <w:tcPr>
            <w:tcW w:w="4720" w:type="dxa"/>
          </w:tcPr>
          <w:p w14:paraId="4C7B8832" w14:textId="64B1D28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 Φακ.: 13.25.020.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20</w:t>
            </w:r>
            <w:r w:rsidR="00AC0FE4">
              <w:rPr>
                <w:rFonts w:cs="Arial"/>
                <w:sz w:val="22"/>
                <w:szCs w:val="22"/>
              </w:rPr>
              <w:t>21.043</w:t>
            </w:r>
            <w:r w:rsidRPr="0004220B">
              <w:rPr>
                <w:rFonts w:cs="Arial"/>
                <w:sz w:val="22"/>
                <w:szCs w:val="22"/>
              </w:rPr>
              <w:t>.Ε.HMY</w:t>
            </w:r>
          </w:p>
        </w:tc>
        <w:tc>
          <w:tcPr>
            <w:tcW w:w="4458" w:type="dxa"/>
          </w:tcPr>
          <w:p w14:paraId="3A24B836" w14:textId="77777777" w:rsidR="00EA5E3A" w:rsidRPr="008D2FCB" w:rsidRDefault="00EA5E3A" w:rsidP="001029B8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A5E3A" w:rsidRPr="008D2FCB" w14:paraId="24B82E89" w14:textId="77777777" w:rsidTr="001029B8">
        <w:trPr>
          <w:gridAfter w:val="1"/>
          <w:wAfter w:w="4458" w:type="dxa"/>
          <w:trHeight w:val="228"/>
        </w:trPr>
        <w:tc>
          <w:tcPr>
            <w:tcW w:w="4720" w:type="dxa"/>
          </w:tcPr>
          <w:p w14:paraId="17940608" w14:textId="7777777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04220B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.: 22 800546</w:t>
            </w:r>
          </w:p>
        </w:tc>
      </w:tr>
    </w:tbl>
    <w:p w14:paraId="48DDF823" w14:textId="77777777" w:rsidR="00EA5E3A" w:rsidRPr="008D2FCB" w:rsidRDefault="00EA5E3A" w:rsidP="00EA5E3A">
      <w:pPr>
        <w:rPr>
          <w:rFonts w:cs="Arial"/>
          <w:sz w:val="22"/>
          <w:szCs w:val="22"/>
          <w:lang w:val="el-GR"/>
        </w:rPr>
      </w:pPr>
    </w:p>
    <w:p w14:paraId="068543AA" w14:textId="43BC0041" w:rsidR="00EA5E3A" w:rsidRPr="00F375D9" w:rsidRDefault="00D46137" w:rsidP="00EA5E3A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</w:rPr>
        <w:t>18</w:t>
      </w:r>
      <w:r w:rsidR="00AC0FE4">
        <w:rPr>
          <w:rFonts w:cs="Arial"/>
          <w:sz w:val="22"/>
          <w:szCs w:val="22"/>
          <w:lang w:val="el-GR"/>
        </w:rPr>
        <w:t xml:space="preserve"> Οκτωβρίου</w:t>
      </w:r>
      <w:r w:rsidR="00EA5E3A" w:rsidRPr="005443F8">
        <w:rPr>
          <w:rFonts w:cs="Arial"/>
          <w:sz w:val="22"/>
          <w:szCs w:val="22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</w:p>
    <w:p w14:paraId="195E1ED9" w14:textId="2433EFC2" w:rsidR="00694190" w:rsidRPr="00A231F1" w:rsidRDefault="00694190" w:rsidP="00694190">
      <w:pPr>
        <w:rPr>
          <w:rFonts w:cs="Arial"/>
          <w:sz w:val="22"/>
          <w:szCs w:val="22"/>
          <w:lang w:val="el-GR"/>
        </w:rPr>
      </w:pPr>
    </w:p>
    <w:p w14:paraId="28EC77A2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ΔΙΑΓΩΝΙΣΜΟΣ ΑΡ.: 13.25.020.2021.043.Ε.ΗΜΥ</w:t>
      </w:r>
    </w:p>
    <w:p w14:paraId="12B6545A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7CEB3A5" w14:textId="7781A011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14:paraId="42E6AE07" w14:textId="26AF1424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3222AFD9" w14:textId="467AB9B1" w:rsidR="00AC0FE4" w:rsidRPr="00A231F1" w:rsidRDefault="00AC0FE4" w:rsidP="00AC0FE4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Πρακτικά Συνεδρίας </w:t>
      </w:r>
      <w:proofErr w:type="spellStart"/>
      <w:r w:rsidRPr="00A231F1">
        <w:rPr>
          <w:rFonts w:cs="Arial"/>
          <w:b/>
          <w:bCs/>
          <w:sz w:val="22"/>
          <w:szCs w:val="22"/>
          <w:u w:val="single"/>
          <w:lang w:val="el-GR"/>
        </w:rPr>
        <w:t>Αρ</w:t>
      </w:r>
      <w:proofErr w:type="spellEnd"/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. </w:t>
      </w:r>
      <w:r w:rsidR="00D46137">
        <w:rPr>
          <w:rFonts w:cs="Arial"/>
          <w:b/>
          <w:bCs/>
          <w:sz w:val="22"/>
          <w:szCs w:val="22"/>
          <w:u w:val="single"/>
          <w:lang w:val="el-GR"/>
        </w:rPr>
        <w:t>2</w:t>
      </w: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 της Επιτροπής Αξιολόγησης</w:t>
      </w:r>
    </w:p>
    <w:p w14:paraId="25A47B80" w14:textId="77777777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06A4DBA3" w14:textId="77777777" w:rsidR="00A231F1" w:rsidRPr="00A231F1" w:rsidRDefault="00A231F1" w:rsidP="00A231F1">
      <w:pPr>
        <w:pStyle w:val="Header"/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8B85BE7" w14:textId="38EDCF81" w:rsidR="00E3271F" w:rsidRDefault="00A231F1" w:rsidP="00A231F1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>Η Επιτροπή Αξιολόγησης συνεδρίασε</w:t>
      </w:r>
      <w:r w:rsidR="002439CB">
        <w:rPr>
          <w:rFonts w:cs="Arial"/>
          <w:sz w:val="22"/>
          <w:szCs w:val="22"/>
          <w:lang w:val="el-GR"/>
        </w:rPr>
        <w:t xml:space="preserve"> για δεύτερη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="002439CB">
        <w:rPr>
          <w:rFonts w:cs="Arial"/>
          <w:sz w:val="22"/>
          <w:szCs w:val="22"/>
          <w:lang w:val="el-GR"/>
        </w:rPr>
        <w:t>φόρα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Pr="00E3271F">
        <w:rPr>
          <w:rFonts w:cs="Arial"/>
          <w:sz w:val="22"/>
          <w:szCs w:val="22"/>
          <w:lang w:val="el-GR"/>
        </w:rPr>
        <w:t xml:space="preserve"> στις </w:t>
      </w:r>
      <w:r w:rsidR="002439CB">
        <w:rPr>
          <w:rFonts w:cs="Arial"/>
          <w:sz w:val="22"/>
          <w:szCs w:val="22"/>
          <w:lang w:val="el-GR"/>
        </w:rPr>
        <w:t>14</w:t>
      </w:r>
      <w:r w:rsidR="00AC0FE4">
        <w:rPr>
          <w:rFonts w:cs="Arial"/>
          <w:sz w:val="22"/>
          <w:szCs w:val="22"/>
          <w:lang w:val="el-GR"/>
        </w:rPr>
        <w:t xml:space="preserve"> Οκτωβρίου</w:t>
      </w:r>
      <w:r w:rsidRPr="00E3271F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  <w:r w:rsidR="00AC0FE4">
        <w:rPr>
          <w:rFonts w:cs="Arial"/>
          <w:sz w:val="22"/>
          <w:szCs w:val="22"/>
          <w:lang w:val="el-GR"/>
        </w:rPr>
        <w:t>.</w:t>
      </w:r>
    </w:p>
    <w:p w14:paraId="4B85F65A" w14:textId="524D9C13" w:rsidR="00A231F1" w:rsidRPr="00E3271F" w:rsidRDefault="00A231F1" w:rsidP="00E3271F">
      <w:pPr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 xml:space="preserve">Στη συνεδρία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E3271F">
        <w:rPr>
          <w:rFonts w:cs="Arial"/>
          <w:sz w:val="22"/>
          <w:szCs w:val="22"/>
          <w:lang w:val="el-GR"/>
        </w:rPr>
        <w:t xml:space="preserve"> όλα τα μέλη της Επιτροπής Αξιολόγησης, ως ακολούθως:</w:t>
      </w:r>
    </w:p>
    <w:p w14:paraId="6D48C59E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660"/>
        <w:gridCol w:w="3768"/>
        <w:gridCol w:w="450"/>
        <w:gridCol w:w="4767"/>
      </w:tblGrid>
      <w:tr w:rsidR="00A231F1" w:rsidRPr="00A231F1" w14:paraId="6E09EAFC" w14:textId="77777777" w:rsidTr="005C5CF4">
        <w:tc>
          <w:tcPr>
            <w:tcW w:w="660" w:type="dxa"/>
          </w:tcPr>
          <w:p w14:paraId="1BD21FF5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Α/Α</w:t>
            </w:r>
          </w:p>
        </w:tc>
        <w:tc>
          <w:tcPr>
            <w:tcW w:w="3768" w:type="dxa"/>
          </w:tcPr>
          <w:p w14:paraId="6720C0A9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Ονοματεπώνυμο</w:t>
            </w:r>
          </w:p>
        </w:tc>
        <w:tc>
          <w:tcPr>
            <w:tcW w:w="450" w:type="dxa"/>
          </w:tcPr>
          <w:p w14:paraId="6E8BF83F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767" w:type="dxa"/>
          </w:tcPr>
          <w:p w14:paraId="0ABF7576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Τίτλος</w:t>
            </w:r>
          </w:p>
        </w:tc>
      </w:tr>
      <w:tr w:rsidR="00A231F1" w:rsidRPr="003054C9" w14:paraId="3606B5EE" w14:textId="77777777" w:rsidTr="005C5CF4">
        <w:tc>
          <w:tcPr>
            <w:tcW w:w="660" w:type="dxa"/>
          </w:tcPr>
          <w:p w14:paraId="0D88AB74" w14:textId="77777777" w:rsidR="00A231F1" w:rsidRPr="003071F6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071F6">
              <w:rPr>
                <w:rFonts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4F2635D1" w14:textId="021B2C75" w:rsidR="00A231F1" w:rsidRPr="003071F6" w:rsidRDefault="003071F6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EA5E3A" w:rsidRPr="003071F6">
              <w:rPr>
                <w:rFonts w:cs="Arial"/>
                <w:sz w:val="22"/>
                <w:szCs w:val="22"/>
                <w:lang w:val="el-GR"/>
              </w:rPr>
              <w:t xml:space="preserve">Λογγίνος Αντωνίου </w:t>
            </w:r>
            <w:r w:rsidR="00A231F1" w:rsidRPr="003071F6">
              <w:rPr>
                <w:rFonts w:cs="Arial"/>
                <w:sz w:val="22"/>
                <w:szCs w:val="22"/>
                <w:lang w:val="el-GR"/>
              </w:rPr>
              <w:t>(Συντονιστής)</w:t>
            </w:r>
          </w:p>
        </w:tc>
        <w:tc>
          <w:tcPr>
            <w:tcW w:w="450" w:type="dxa"/>
          </w:tcPr>
          <w:p w14:paraId="07EB6101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6BF5212D" w14:textId="57B9424F" w:rsidR="00A231F1" w:rsidRPr="00A231F1" w:rsidRDefault="00EA5E3A" w:rsidP="00EA5E3A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Μηχαν</w:t>
            </w:r>
            <w:r>
              <w:rPr>
                <w:rFonts w:cs="Arial"/>
                <w:sz w:val="22"/>
                <w:szCs w:val="22"/>
                <w:lang w:val="el-GR"/>
              </w:rPr>
              <w:t>ολόγος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 Μηχαν</w:t>
            </w:r>
            <w:r>
              <w:rPr>
                <w:rFonts w:cs="Arial"/>
                <w:sz w:val="22"/>
                <w:szCs w:val="22"/>
                <w:lang w:val="el-GR"/>
              </w:rPr>
              <w:t>ικός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, Τμήμα Ηλεκτρομηχανολογικών Υπηρεσιών </w:t>
            </w:r>
          </w:p>
        </w:tc>
      </w:tr>
      <w:tr w:rsidR="00A231F1" w:rsidRPr="003054C9" w14:paraId="6433888E" w14:textId="77777777" w:rsidTr="005C5CF4">
        <w:tc>
          <w:tcPr>
            <w:tcW w:w="660" w:type="dxa"/>
          </w:tcPr>
          <w:p w14:paraId="3A7E4B98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1A26E1C9" w14:textId="128A5AD5" w:rsidR="00A231F1" w:rsidRPr="00A231F1" w:rsidRDefault="00EA5E3A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bCs/>
                <w:sz w:val="22"/>
                <w:szCs w:val="22"/>
                <w:lang w:val="el-GR"/>
              </w:rPr>
              <w:t xml:space="preserve">κ. 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Χάρη</w:t>
            </w:r>
            <w:r w:rsidR="00AC0FE4">
              <w:rPr>
                <w:rFonts w:cs="Arial"/>
                <w:bCs/>
                <w:sz w:val="22"/>
                <w:szCs w:val="22"/>
                <w:lang w:val="el-GR"/>
              </w:rPr>
              <w:t>ς Χαραλάμπους</w:t>
            </w:r>
          </w:p>
        </w:tc>
        <w:tc>
          <w:tcPr>
            <w:tcW w:w="450" w:type="dxa"/>
          </w:tcPr>
          <w:p w14:paraId="60B08E25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04A0F22" w14:textId="6611F901" w:rsidR="00A231F1" w:rsidRPr="00A231F1" w:rsidRDefault="00AC0FE4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Ηλεκτρολόγος Μηχανικός</w:t>
            </w:r>
            <w:r w:rsidR="00EA5E3A" w:rsidRPr="00A231F1">
              <w:rPr>
                <w:rFonts w:cs="Arial"/>
                <w:sz w:val="22"/>
                <w:szCs w:val="22"/>
                <w:lang w:val="el-GR"/>
              </w:rPr>
              <w:t>, Τμήμα Ηλεκτρομηχανολογικών Υπηρεσιών</w:t>
            </w:r>
          </w:p>
        </w:tc>
      </w:tr>
      <w:tr w:rsidR="007E1F28" w:rsidRPr="003054C9" w14:paraId="1ABAD294" w14:textId="77777777" w:rsidTr="005C5CF4">
        <w:trPr>
          <w:trHeight w:val="615"/>
        </w:trPr>
        <w:tc>
          <w:tcPr>
            <w:tcW w:w="660" w:type="dxa"/>
          </w:tcPr>
          <w:p w14:paraId="280A9D82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3A49499C" w14:textId="5051FFE2" w:rsidR="007E1F28" w:rsidRPr="00B8515E" w:rsidRDefault="00EA5E3A" w:rsidP="00AC0FE4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Γιώργος Ματσουκάρης</w:t>
            </w:r>
          </w:p>
        </w:tc>
        <w:tc>
          <w:tcPr>
            <w:tcW w:w="450" w:type="dxa"/>
          </w:tcPr>
          <w:p w14:paraId="2899C728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2E7A0912" w14:textId="0E46A77C" w:rsidR="007E1F28" w:rsidRPr="00A231F1" w:rsidRDefault="00234045" w:rsidP="00C31E65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Διεύθυνση </w:t>
            </w:r>
            <w:r w:rsidRPr="002026EC">
              <w:rPr>
                <w:rFonts w:cs="Arial"/>
                <w:sz w:val="22"/>
                <w:szCs w:val="22"/>
                <w:lang w:val="el-GR"/>
              </w:rPr>
              <w:t>Ελέγχου, Υ.Μ.Ε.Ε.</w:t>
            </w:r>
          </w:p>
        </w:tc>
      </w:tr>
    </w:tbl>
    <w:p w14:paraId="0C2D45D8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FDD2D49" w14:textId="74D26B80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 xml:space="preserve">Στη συνεδρία δεν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A231F1">
        <w:rPr>
          <w:rFonts w:cs="Arial"/>
          <w:sz w:val="22"/>
          <w:szCs w:val="22"/>
          <w:lang w:val="el-GR"/>
        </w:rPr>
        <w:t xml:space="preserve"> παρατηρητές.</w:t>
      </w:r>
    </w:p>
    <w:p w14:paraId="4772FBA5" w14:textId="1BF79B99" w:rsidR="00AC0FE4" w:rsidRDefault="00AC0FE4" w:rsidP="00A231F1">
      <w:pPr>
        <w:jc w:val="both"/>
        <w:rPr>
          <w:rFonts w:cs="Arial"/>
          <w:sz w:val="22"/>
          <w:szCs w:val="22"/>
          <w:lang w:val="el-GR"/>
        </w:rPr>
      </w:pPr>
    </w:p>
    <w:p w14:paraId="72DE33CF" w14:textId="7A487DAE" w:rsidR="00D46137" w:rsidRDefault="00AC0FE4" w:rsidP="00AC0FE4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  <w:rPr>
          <w:rFonts w:cs="Arial"/>
          <w:sz w:val="22"/>
          <w:szCs w:val="22"/>
          <w:lang w:val="el-GR"/>
        </w:rPr>
      </w:pPr>
      <w:r w:rsidRPr="00AC0FE4">
        <w:rPr>
          <w:rFonts w:cs="Arial"/>
          <w:sz w:val="22"/>
          <w:szCs w:val="22"/>
          <w:lang w:val="el-GR"/>
        </w:rPr>
        <w:t xml:space="preserve">Κατά τη συνεδρία </w:t>
      </w:r>
      <w:r w:rsidR="002243F9">
        <w:rPr>
          <w:rFonts w:cs="Arial"/>
          <w:sz w:val="22"/>
          <w:szCs w:val="22"/>
          <w:lang w:val="el-GR"/>
        </w:rPr>
        <w:t xml:space="preserve">η επιτροπή αξιολόγησης, </w:t>
      </w:r>
      <w:r w:rsidR="00D46137">
        <w:rPr>
          <w:rFonts w:cs="Arial"/>
          <w:sz w:val="22"/>
          <w:szCs w:val="22"/>
          <w:lang w:val="el-GR"/>
        </w:rPr>
        <w:t xml:space="preserve">έλεγξε τις απαντήσεις </w:t>
      </w:r>
      <w:r w:rsidR="002243F9">
        <w:rPr>
          <w:rFonts w:cs="Arial"/>
          <w:sz w:val="22"/>
          <w:szCs w:val="22"/>
          <w:lang w:val="el-GR"/>
        </w:rPr>
        <w:t xml:space="preserve">των </w:t>
      </w:r>
      <w:r w:rsidR="00D46137">
        <w:rPr>
          <w:rFonts w:cs="Arial"/>
          <w:sz w:val="22"/>
          <w:szCs w:val="22"/>
          <w:lang w:val="el-GR"/>
        </w:rPr>
        <w:t>διευκρινήσεων που ζητήθηκαν από τους πιο κάτω προσφέροντες:</w:t>
      </w:r>
    </w:p>
    <w:p w14:paraId="23B29B46" w14:textId="77777777" w:rsidR="00D46137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</w:tblGrid>
      <w:tr w:rsidR="00D46137" w:rsidRPr="00DC04FD" w14:paraId="583C2D41" w14:textId="77777777" w:rsidTr="00AF31D1">
        <w:trPr>
          <w:cantSplit/>
          <w:trHeight w:val="255"/>
          <w:jc w:val="center"/>
        </w:trPr>
        <w:tc>
          <w:tcPr>
            <w:tcW w:w="1170" w:type="dxa"/>
            <w:vAlign w:val="center"/>
          </w:tcPr>
          <w:p w14:paraId="1A3BD925" w14:textId="77777777" w:rsidR="00D46137" w:rsidRPr="004079BE" w:rsidRDefault="00D46137" w:rsidP="00AF31D1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  <w:lang w:val="el-GR"/>
              </w:rPr>
              <w:t>α</w:t>
            </w:r>
            <w:r w:rsidRPr="004079BE">
              <w:rPr>
                <w:rFonts w:cs="Arial"/>
                <w:sz w:val="22"/>
                <w:szCs w:val="22"/>
              </w:rPr>
              <w:t>/α</w:t>
            </w:r>
          </w:p>
        </w:tc>
        <w:tc>
          <w:tcPr>
            <w:tcW w:w="4050" w:type="dxa"/>
            <w:vAlign w:val="center"/>
          </w:tcPr>
          <w:p w14:paraId="05062814" w14:textId="77777777" w:rsidR="00D46137" w:rsidRPr="004079BE" w:rsidRDefault="00D46137" w:rsidP="00AF31D1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Προσφέρων</w:t>
            </w:r>
          </w:p>
        </w:tc>
      </w:tr>
      <w:tr w:rsidR="00D46137" w:rsidRPr="00DC04FD" w14:paraId="1E306CD1" w14:textId="77777777" w:rsidTr="00AF31D1">
        <w:trPr>
          <w:trHeight w:val="305"/>
          <w:jc w:val="center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0F3FA" w14:textId="77777777" w:rsidR="00D46137" w:rsidRPr="004079BE" w:rsidRDefault="00D46137" w:rsidP="00AF31D1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79B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DBD" w14:textId="77777777" w:rsidR="00D46137" w:rsidRPr="004079BE" w:rsidRDefault="00D46137" w:rsidP="00AF31D1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ZARIFOPOULOS CYPRUS LTD</w:t>
            </w:r>
          </w:p>
        </w:tc>
      </w:tr>
      <w:tr w:rsidR="00D46137" w:rsidRPr="00DC04FD" w14:paraId="32860DE0" w14:textId="77777777" w:rsidTr="00AF31D1">
        <w:trPr>
          <w:trHeight w:val="305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2FC0AD6" w14:textId="77777777" w:rsidR="00D46137" w:rsidRPr="004079BE" w:rsidRDefault="00D46137" w:rsidP="00AF31D1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79B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387250" w14:textId="77777777" w:rsidR="00D46137" w:rsidRPr="004079BE" w:rsidRDefault="00D46137" w:rsidP="00AF31D1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CLOSEC DRAGON LTD</w:t>
            </w:r>
          </w:p>
        </w:tc>
      </w:tr>
      <w:tr w:rsidR="00D46137" w:rsidRPr="00DC04FD" w14:paraId="41E49E07" w14:textId="77777777" w:rsidTr="00AF31D1">
        <w:trPr>
          <w:trHeight w:val="458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BCF27A9" w14:textId="77777777" w:rsidR="00D46137" w:rsidRPr="004079BE" w:rsidRDefault="00D46137" w:rsidP="00AF31D1">
            <w:pPr>
              <w:jc w:val="center"/>
              <w:rPr>
                <w:rFonts w:cs="Arial"/>
                <w:i/>
                <w:sz w:val="22"/>
                <w:szCs w:val="22"/>
                <w:lang w:val="el-GR"/>
              </w:rPr>
            </w:pPr>
            <w:r w:rsidRPr="004079BE">
              <w:rPr>
                <w:rFonts w:cs="Arial"/>
                <w:i/>
                <w:sz w:val="22"/>
                <w:szCs w:val="22"/>
                <w:lang w:val="el-GR"/>
              </w:rPr>
              <w:t>4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15DB4" w14:textId="77777777" w:rsidR="00D46137" w:rsidRPr="004079BE" w:rsidRDefault="00D46137" w:rsidP="00AF31D1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BLUE SUN AUTOMATION LIMITED</w:t>
            </w:r>
          </w:p>
        </w:tc>
      </w:tr>
    </w:tbl>
    <w:p w14:paraId="4C231B18" w14:textId="77777777" w:rsidR="00D46137" w:rsidRPr="00D46137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</w:rPr>
      </w:pPr>
    </w:p>
    <w:p w14:paraId="79417A1A" w14:textId="184282F5" w:rsidR="00D46137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n-US"/>
        </w:rPr>
      </w:pPr>
    </w:p>
    <w:p w14:paraId="4AA6AE85" w14:textId="77820306" w:rsidR="00D46137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n-US"/>
        </w:rPr>
      </w:pPr>
    </w:p>
    <w:p w14:paraId="04D75C99" w14:textId="1332F05D" w:rsidR="00AC0FE4" w:rsidRDefault="00AC0FE4" w:rsidP="00D46137">
      <w:pPr>
        <w:pStyle w:val="ListParagraph"/>
        <w:ind w:left="0"/>
        <w:jc w:val="both"/>
        <w:rPr>
          <w:rFonts w:cs="Arial"/>
          <w:sz w:val="22"/>
          <w:szCs w:val="22"/>
          <w:lang w:val="en-US"/>
        </w:rPr>
      </w:pPr>
    </w:p>
    <w:p w14:paraId="243BE399" w14:textId="77777777" w:rsidR="00D46137" w:rsidRPr="00AC0FE4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p w14:paraId="107096BB" w14:textId="6FD1E42F" w:rsidR="002243F9" w:rsidRPr="002243F9" w:rsidRDefault="002243F9" w:rsidP="002243F9">
      <w:pPr>
        <w:rPr>
          <w:rFonts w:cs="Arial"/>
          <w:sz w:val="22"/>
          <w:szCs w:val="22"/>
          <w:lang w:val="el-GR"/>
        </w:rPr>
      </w:pPr>
    </w:p>
    <w:p w14:paraId="05BA7E2C" w14:textId="6E59835C" w:rsidR="002243F9" w:rsidRDefault="002243F9" w:rsidP="00E00208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 w:rsidRPr="002243F9">
        <w:rPr>
          <w:rFonts w:cs="Arial"/>
          <w:sz w:val="22"/>
          <w:szCs w:val="22"/>
          <w:lang w:val="el-GR"/>
        </w:rPr>
        <w:t xml:space="preserve">Η Επιτροπή Αξιολόγησης, μετά από λεπτομερή μελέτη των </w:t>
      </w:r>
      <w:r w:rsidR="003054C9">
        <w:rPr>
          <w:rFonts w:cs="Arial"/>
          <w:sz w:val="22"/>
          <w:szCs w:val="22"/>
          <w:lang w:val="el-GR"/>
        </w:rPr>
        <w:t xml:space="preserve">απαντήσεων στις </w:t>
      </w:r>
      <w:r>
        <w:rPr>
          <w:rFonts w:cs="Arial"/>
          <w:sz w:val="22"/>
          <w:szCs w:val="22"/>
          <w:lang w:val="el-GR"/>
        </w:rPr>
        <w:t>διευκρινήσε</w:t>
      </w:r>
      <w:r w:rsidR="003054C9">
        <w:rPr>
          <w:rFonts w:cs="Arial"/>
          <w:sz w:val="22"/>
          <w:szCs w:val="22"/>
          <w:lang w:val="el-GR"/>
        </w:rPr>
        <w:t>ις</w:t>
      </w:r>
      <w:r>
        <w:rPr>
          <w:rFonts w:cs="Arial"/>
          <w:sz w:val="22"/>
          <w:szCs w:val="22"/>
          <w:lang w:val="el-GR"/>
        </w:rPr>
        <w:t xml:space="preserve"> που υπέβαλαν οι προσφέροντες</w:t>
      </w:r>
      <w:r w:rsidRPr="002243F9">
        <w:rPr>
          <w:rFonts w:cs="Arial"/>
          <w:sz w:val="22"/>
          <w:szCs w:val="22"/>
          <w:lang w:val="el-GR"/>
        </w:rPr>
        <w:t xml:space="preserve">, έχει αποφασίσει ομόφωνα </w:t>
      </w:r>
      <w:r w:rsidR="00D46137">
        <w:rPr>
          <w:rFonts w:cs="Arial"/>
          <w:sz w:val="22"/>
          <w:szCs w:val="22"/>
          <w:lang w:val="el-GR"/>
        </w:rPr>
        <w:t>ότι προσφορές</w:t>
      </w:r>
      <w:r w:rsidR="00EB7009">
        <w:rPr>
          <w:rFonts w:cs="Arial"/>
          <w:sz w:val="22"/>
          <w:szCs w:val="22"/>
          <w:lang w:val="el-GR"/>
        </w:rPr>
        <w:t xml:space="preserve"> αρ.2, </w:t>
      </w:r>
      <w:r w:rsidR="00EB7009">
        <w:rPr>
          <w:rFonts w:cs="Arial"/>
          <w:sz w:val="22"/>
          <w:szCs w:val="22"/>
        </w:rPr>
        <w:t xml:space="preserve">Wave Electronics Ltd </w:t>
      </w:r>
      <w:r w:rsidR="00EB7009">
        <w:rPr>
          <w:rFonts w:cs="Arial"/>
          <w:sz w:val="22"/>
          <w:szCs w:val="22"/>
          <w:lang w:val="el-GR"/>
        </w:rPr>
        <w:t>και αρ.4</w:t>
      </w:r>
      <w:r w:rsidR="00E00208">
        <w:rPr>
          <w:rFonts w:cs="Arial"/>
          <w:sz w:val="22"/>
          <w:szCs w:val="22"/>
          <w:lang w:val="el-GR"/>
        </w:rPr>
        <w:t>,</w:t>
      </w:r>
      <w:r w:rsidR="00EB7009">
        <w:rPr>
          <w:rFonts w:cs="Arial"/>
          <w:sz w:val="22"/>
          <w:szCs w:val="22"/>
          <w:lang w:val="el-GR"/>
        </w:rPr>
        <w:t xml:space="preserve"> </w:t>
      </w:r>
      <w:r w:rsidR="00E00208" w:rsidRPr="00E00208">
        <w:rPr>
          <w:rFonts w:cs="Arial"/>
          <w:sz w:val="22"/>
          <w:szCs w:val="22"/>
          <w:lang w:val="el-GR"/>
        </w:rPr>
        <w:t>BLUE SUN AUTOMATION LIMITED</w:t>
      </w:r>
      <w:r w:rsidR="00E00208">
        <w:rPr>
          <w:rFonts w:cs="Arial"/>
          <w:sz w:val="22"/>
          <w:szCs w:val="22"/>
          <w:lang w:val="el-GR"/>
        </w:rPr>
        <w:t xml:space="preserve">, </w:t>
      </w:r>
      <w:r w:rsidR="00D46137">
        <w:rPr>
          <w:rFonts w:cs="Arial"/>
          <w:sz w:val="22"/>
          <w:szCs w:val="22"/>
          <w:lang w:val="el-GR"/>
        </w:rPr>
        <w:t>ικανοποιούν</w:t>
      </w:r>
      <w:r w:rsidRPr="002243F9">
        <w:rPr>
          <w:rFonts w:cs="Arial"/>
          <w:sz w:val="22"/>
          <w:szCs w:val="22"/>
          <w:lang w:val="el-GR"/>
        </w:rPr>
        <w:t xml:space="preserve"> τις απαιτήσεις τ</w:t>
      </w:r>
      <w:r w:rsidR="00C40FB6">
        <w:rPr>
          <w:rFonts w:cs="Arial"/>
          <w:sz w:val="22"/>
          <w:szCs w:val="22"/>
          <w:lang w:val="el-GR"/>
        </w:rPr>
        <w:t xml:space="preserve">ων εγγράφων του διαγωνισμού </w:t>
      </w:r>
      <w:r w:rsidRPr="002243F9">
        <w:rPr>
          <w:rFonts w:cs="Arial"/>
          <w:sz w:val="22"/>
          <w:szCs w:val="22"/>
          <w:lang w:val="el-GR"/>
        </w:rPr>
        <w:t>επομένως κρίθηκ</w:t>
      </w:r>
      <w:r w:rsidR="00D46137">
        <w:rPr>
          <w:rFonts w:cs="Arial"/>
          <w:sz w:val="22"/>
          <w:szCs w:val="22"/>
          <w:lang w:val="el-GR"/>
        </w:rPr>
        <w:t>αν αποδέκτες</w:t>
      </w:r>
      <w:r w:rsidR="003054C9">
        <w:rPr>
          <w:rFonts w:cs="Arial"/>
          <w:sz w:val="22"/>
          <w:szCs w:val="22"/>
          <w:lang w:val="el-GR"/>
        </w:rPr>
        <w:t xml:space="preserve"> και μπορούνε να αξιολογηθούν περαιτέρω. </w:t>
      </w:r>
      <w:r w:rsidR="00E00208">
        <w:rPr>
          <w:rFonts w:cs="Arial"/>
          <w:sz w:val="22"/>
          <w:szCs w:val="22"/>
          <w:lang w:val="el-GR"/>
        </w:rPr>
        <w:t xml:space="preserve">Η προσφορά </w:t>
      </w:r>
    </w:p>
    <w:p w14:paraId="1162299B" w14:textId="7DCC32E9" w:rsidR="00E00208" w:rsidRDefault="00E00208" w:rsidP="00E00208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  <w:r w:rsidRPr="00E00208">
        <w:rPr>
          <w:rFonts w:cs="Arial"/>
          <w:sz w:val="22"/>
          <w:szCs w:val="22"/>
          <w:lang w:val="el-GR"/>
        </w:rPr>
        <w:t>Αρ.</w:t>
      </w:r>
      <w:r>
        <w:rPr>
          <w:rFonts w:cs="Arial"/>
          <w:sz w:val="22"/>
          <w:szCs w:val="22"/>
          <w:lang w:val="el-GR"/>
        </w:rPr>
        <w:t>1</w:t>
      </w:r>
      <w:r w:rsidRPr="00E00208">
        <w:rPr>
          <w:rFonts w:cs="Arial"/>
          <w:sz w:val="22"/>
          <w:szCs w:val="22"/>
          <w:lang w:val="el-GR"/>
        </w:rPr>
        <w:t xml:space="preserve"> δεν συμμορφώνεται με τους απαιτούμενους ορούς των εγγράφων διαγωνισμού, σε σχέση με το Παράρτημα 19</w:t>
      </w:r>
      <w:r>
        <w:rPr>
          <w:rFonts w:cs="Arial"/>
          <w:sz w:val="22"/>
          <w:szCs w:val="22"/>
          <w:lang w:val="el-GR"/>
        </w:rPr>
        <w:t xml:space="preserve"> και ως εκ τούτου δεν μπορεί να αξιολογηθεί περαιτέρω.</w:t>
      </w:r>
    </w:p>
    <w:p w14:paraId="617BD9C8" w14:textId="40428E6B" w:rsidR="00C40FB6" w:rsidRDefault="00C40FB6" w:rsidP="00C40FB6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Η επιτροπή αξιολόγησης προχώρησε σε έλεγχο των οικονομικών προσφορών</w:t>
      </w:r>
      <w:r w:rsidR="00E00208">
        <w:rPr>
          <w:rFonts w:cs="Arial"/>
          <w:sz w:val="22"/>
          <w:szCs w:val="22"/>
          <w:lang w:val="el-GR"/>
        </w:rPr>
        <w:t xml:space="preserve"> των έγκυρων προσφορών. </w:t>
      </w:r>
    </w:p>
    <w:p w14:paraId="7CC43CDB" w14:textId="7823DED0" w:rsidR="00C40FB6" w:rsidRDefault="00C40FB6" w:rsidP="00C40FB6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 w:rsidRPr="00C40FB6">
        <w:rPr>
          <w:rFonts w:cs="Arial"/>
          <w:sz w:val="22"/>
          <w:szCs w:val="22"/>
          <w:lang w:val="el-GR"/>
        </w:rPr>
        <w:t xml:space="preserve">Η </w:t>
      </w:r>
      <w:r w:rsidRPr="00C40FB6">
        <w:rPr>
          <w:rFonts w:cs="Arial"/>
          <w:sz w:val="22"/>
          <w:szCs w:val="22"/>
          <w:lang w:val="el-GR" w:eastAsia="el-GR"/>
        </w:rPr>
        <w:t>Επιτροπή</w:t>
      </w:r>
      <w:r w:rsidRPr="00C40FB6">
        <w:rPr>
          <w:rFonts w:cs="Arial"/>
          <w:sz w:val="22"/>
          <w:szCs w:val="22"/>
          <w:lang w:val="el-GR"/>
        </w:rPr>
        <w:t xml:space="preserve"> Αξιολόγησης αποφάσισε όπως αποστείλει διευκρινιστικές επιστολές στους </w:t>
      </w:r>
      <w:r>
        <w:rPr>
          <w:rFonts w:cs="Arial"/>
          <w:sz w:val="22"/>
          <w:szCs w:val="22"/>
          <w:lang w:val="el-GR"/>
        </w:rPr>
        <w:t xml:space="preserve">πιο </w:t>
      </w:r>
      <w:r w:rsidR="00E00208">
        <w:rPr>
          <w:rFonts w:cs="Arial"/>
          <w:sz w:val="22"/>
          <w:szCs w:val="22"/>
          <w:lang w:val="el-GR"/>
        </w:rPr>
        <w:t>κάτω</w:t>
      </w:r>
      <w:r>
        <w:rPr>
          <w:rFonts w:cs="Arial"/>
          <w:sz w:val="22"/>
          <w:szCs w:val="22"/>
          <w:lang w:val="el-GR"/>
        </w:rPr>
        <w:t xml:space="preserve">: </w:t>
      </w:r>
    </w:p>
    <w:p w14:paraId="55477532" w14:textId="77777777" w:rsidR="00692A43" w:rsidRDefault="00692A43" w:rsidP="00692A43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</w:tblGrid>
      <w:tr w:rsidR="00C40FB6" w:rsidRPr="00DC04FD" w14:paraId="0315EBE0" w14:textId="77777777" w:rsidTr="00F34A5C">
        <w:trPr>
          <w:cantSplit/>
          <w:trHeight w:val="255"/>
          <w:jc w:val="center"/>
        </w:trPr>
        <w:tc>
          <w:tcPr>
            <w:tcW w:w="1170" w:type="dxa"/>
            <w:vAlign w:val="center"/>
          </w:tcPr>
          <w:p w14:paraId="6A59009A" w14:textId="77777777" w:rsidR="00C40FB6" w:rsidRPr="004079BE" w:rsidRDefault="00C40FB6" w:rsidP="00F34A5C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  <w:lang w:val="el-GR"/>
              </w:rPr>
              <w:t>α</w:t>
            </w:r>
            <w:r w:rsidRPr="004079BE">
              <w:rPr>
                <w:rFonts w:cs="Arial"/>
                <w:sz w:val="22"/>
                <w:szCs w:val="22"/>
              </w:rPr>
              <w:t>/α</w:t>
            </w:r>
          </w:p>
        </w:tc>
        <w:tc>
          <w:tcPr>
            <w:tcW w:w="4050" w:type="dxa"/>
            <w:vAlign w:val="center"/>
          </w:tcPr>
          <w:p w14:paraId="7378F9D9" w14:textId="77777777" w:rsidR="00C40FB6" w:rsidRPr="004079BE" w:rsidRDefault="00C40FB6" w:rsidP="00F34A5C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079BE">
              <w:rPr>
                <w:rFonts w:cs="Arial"/>
                <w:sz w:val="22"/>
                <w:szCs w:val="22"/>
              </w:rPr>
              <w:t>Προσφέρων</w:t>
            </w:r>
            <w:proofErr w:type="spellEnd"/>
          </w:p>
        </w:tc>
      </w:tr>
      <w:tr w:rsidR="00C40FB6" w:rsidRPr="00DC04FD" w14:paraId="7F92DA4F" w14:textId="77777777" w:rsidTr="00F34A5C">
        <w:trPr>
          <w:trHeight w:val="305"/>
          <w:jc w:val="center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6B588" w14:textId="65A40929" w:rsidR="00C40FB6" w:rsidRPr="004079BE" w:rsidRDefault="00C40FB6" w:rsidP="00F34A5C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1559" w14:textId="4DB6F25A" w:rsidR="00C40FB6" w:rsidRPr="004079BE" w:rsidRDefault="00C40FB6" w:rsidP="00F34A5C">
            <w:pPr>
              <w:rPr>
                <w:rFonts w:cs="Arial"/>
                <w:sz w:val="22"/>
                <w:szCs w:val="22"/>
              </w:rPr>
            </w:pPr>
            <w:r w:rsidRPr="00C40FB6">
              <w:rPr>
                <w:rFonts w:cs="Arial"/>
                <w:sz w:val="22"/>
                <w:szCs w:val="22"/>
              </w:rPr>
              <w:t>Wave Electronics Ltd</w:t>
            </w:r>
          </w:p>
        </w:tc>
      </w:tr>
    </w:tbl>
    <w:p w14:paraId="61457B19" w14:textId="77777777" w:rsidR="00C40FB6" w:rsidRDefault="00C40FB6" w:rsidP="00C40FB6">
      <w:pPr>
        <w:pStyle w:val="BlockText"/>
        <w:ind w:left="188" w:hanging="634"/>
        <w:rPr>
          <w:rFonts w:ascii="Arial" w:hAnsi="Arial" w:cs="Arial"/>
          <w:szCs w:val="22"/>
        </w:rPr>
      </w:pPr>
    </w:p>
    <w:p w14:paraId="1A97BAEF" w14:textId="258FDA4A" w:rsidR="00795699" w:rsidRPr="00692A43" w:rsidRDefault="00C40FB6" w:rsidP="00C40FB6">
      <w:pPr>
        <w:pStyle w:val="BlockText"/>
        <w:ind w:left="0"/>
        <w:rPr>
          <w:rFonts w:ascii="Arial" w:hAnsi="Arial" w:cs="Arial"/>
          <w:szCs w:val="22"/>
        </w:rPr>
      </w:pPr>
      <w:r w:rsidRPr="00692A43">
        <w:rPr>
          <w:rFonts w:ascii="Arial" w:hAnsi="Arial" w:cs="Arial"/>
          <w:szCs w:val="22"/>
        </w:rPr>
        <w:t xml:space="preserve">Σημειώνεται ότι η προσφορά της εταιρείας </w:t>
      </w:r>
      <w:r w:rsidR="00692A43" w:rsidRPr="00692A43">
        <w:rPr>
          <w:rFonts w:ascii="Arial" w:hAnsi="Arial" w:cs="Arial"/>
          <w:szCs w:val="22"/>
        </w:rPr>
        <w:t>«</w:t>
      </w:r>
      <w:r w:rsidRPr="00692A43">
        <w:rPr>
          <w:rFonts w:ascii="Arial" w:hAnsi="Arial" w:cs="Arial"/>
          <w:szCs w:val="22"/>
        </w:rPr>
        <w:t>Wave Electronics Ltd</w:t>
      </w:r>
      <w:r w:rsidR="00692A43" w:rsidRPr="00692A43">
        <w:rPr>
          <w:rFonts w:ascii="Arial" w:hAnsi="Arial" w:cs="Arial"/>
          <w:szCs w:val="22"/>
        </w:rPr>
        <w:t>»</w:t>
      </w:r>
      <w:r w:rsidRPr="00692A43">
        <w:rPr>
          <w:rFonts w:ascii="Arial" w:hAnsi="Arial" w:cs="Arial"/>
          <w:szCs w:val="22"/>
        </w:rPr>
        <w:t xml:space="preserve"> παρουσίαζε εξαιρετικά χαμηλές τιμές, στα τ</w:t>
      </w:r>
      <w:r w:rsidR="00795699" w:rsidRPr="00692A43">
        <w:rPr>
          <w:rFonts w:ascii="Arial" w:hAnsi="Arial" w:cs="Arial"/>
          <w:szCs w:val="22"/>
        </w:rPr>
        <w:t xml:space="preserve">μήματα Α, Β, </w:t>
      </w:r>
      <w:r w:rsidRPr="00692A43">
        <w:rPr>
          <w:rFonts w:ascii="Arial" w:hAnsi="Arial" w:cs="Arial"/>
          <w:szCs w:val="22"/>
        </w:rPr>
        <w:t>Γ</w:t>
      </w:r>
      <w:r w:rsidR="00692A43" w:rsidRPr="00692A43">
        <w:rPr>
          <w:rFonts w:ascii="Arial" w:hAnsi="Arial" w:cs="Arial"/>
          <w:szCs w:val="22"/>
        </w:rPr>
        <w:t xml:space="preserve"> και Δ σε σχέση με την εκτίμηση κόστους του Τμήματος</w:t>
      </w:r>
      <w:r w:rsidR="00E00208">
        <w:rPr>
          <w:rFonts w:ascii="Arial" w:hAnsi="Arial" w:cs="Arial"/>
          <w:szCs w:val="22"/>
          <w:lang w:val="en-GB"/>
        </w:rPr>
        <w:t>.</w:t>
      </w:r>
      <w:r w:rsidR="00692A43" w:rsidRPr="00692A43">
        <w:rPr>
          <w:rFonts w:ascii="Arial" w:hAnsi="Arial" w:cs="Arial"/>
          <w:szCs w:val="22"/>
        </w:rPr>
        <w:t xml:space="preserve"> </w:t>
      </w:r>
      <w:bookmarkStart w:id="0" w:name="_GoBack"/>
      <w:bookmarkEnd w:id="0"/>
    </w:p>
    <w:p w14:paraId="5B89B0B8" w14:textId="77777777" w:rsidR="00795699" w:rsidRPr="00692A43" w:rsidRDefault="00795699" w:rsidP="00C40FB6">
      <w:pPr>
        <w:pStyle w:val="BlockText"/>
        <w:ind w:left="0"/>
        <w:rPr>
          <w:rFonts w:ascii="Arial" w:hAnsi="Arial" w:cs="Arial"/>
          <w:szCs w:val="22"/>
        </w:rPr>
      </w:pPr>
    </w:p>
    <w:p w14:paraId="73C5F6D8" w14:textId="77777777" w:rsidR="00C40FB6" w:rsidRPr="00692A43" w:rsidRDefault="00C40FB6" w:rsidP="00C40FB6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692A43">
        <w:rPr>
          <w:rFonts w:cs="Arial"/>
          <w:sz w:val="22"/>
          <w:szCs w:val="22"/>
          <w:lang w:val="el-GR"/>
        </w:rPr>
        <w:t xml:space="preserve">Οι σχετικές επιστολές όπως και το περιεχόμενο τους συμφωνήθηκε κατά τη διάρκεια της συνεδρίας και επισυνάπτονται στο Παράρτημα 3 της έκθεσης αξιολόγησης. </w:t>
      </w:r>
    </w:p>
    <w:p w14:paraId="26CC8E01" w14:textId="7F41D10E" w:rsidR="002243F9" w:rsidRDefault="002243F9" w:rsidP="002243F9">
      <w:pPr>
        <w:pStyle w:val="ListParagraph"/>
        <w:spacing w:line="276" w:lineRule="auto"/>
        <w:ind w:left="0"/>
        <w:contextualSpacing w:val="0"/>
        <w:jc w:val="both"/>
        <w:rPr>
          <w:rFonts w:cs="Arial"/>
          <w:sz w:val="22"/>
          <w:szCs w:val="22"/>
          <w:lang w:val="el-GR"/>
        </w:rPr>
      </w:pPr>
    </w:p>
    <w:p w14:paraId="158151E6" w14:textId="77777777" w:rsidR="002439CB" w:rsidRPr="003071F6" w:rsidRDefault="002439CB" w:rsidP="002439CB">
      <w:pPr>
        <w:jc w:val="both"/>
        <w:rPr>
          <w:rFonts w:cs="Arial"/>
          <w:szCs w:val="22"/>
          <w:lang w:val="el-GR"/>
        </w:rPr>
      </w:pPr>
    </w:p>
    <w:p w14:paraId="6FADDD89" w14:textId="77777777" w:rsidR="00A231F1" w:rsidRPr="00A231F1" w:rsidRDefault="00A231F1" w:rsidP="007E1F28">
      <w:pPr>
        <w:jc w:val="both"/>
        <w:rPr>
          <w:rFonts w:cs="Arial"/>
          <w:sz w:val="22"/>
          <w:szCs w:val="22"/>
          <w:lang w:val="el-GR"/>
        </w:rPr>
      </w:pPr>
    </w:p>
    <w:p w14:paraId="7C18BE16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5C4152C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511218E0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E512F21" w14:textId="77777777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B89D217" w14:textId="77777777" w:rsidR="007E1F28" w:rsidRDefault="007E1F28" w:rsidP="00A231F1">
      <w:pPr>
        <w:jc w:val="both"/>
        <w:rPr>
          <w:rFonts w:cs="Arial"/>
          <w:sz w:val="22"/>
          <w:szCs w:val="22"/>
          <w:lang w:val="el-GR"/>
        </w:rPr>
      </w:pPr>
    </w:p>
    <w:p w14:paraId="014D92AD" w14:textId="06BF931D" w:rsidR="007E1F28" w:rsidRDefault="007E1F28" w:rsidP="00A231F1">
      <w:pPr>
        <w:jc w:val="both"/>
        <w:rPr>
          <w:rFonts w:cs="Arial"/>
          <w:sz w:val="22"/>
          <w:szCs w:val="22"/>
          <w:lang w:val="el-GR"/>
        </w:rPr>
      </w:pPr>
    </w:p>
    <w:p w14:paraId="7E7B7DF2" w14:textId="629BB8E1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0B107545" w14:textId="116F9044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7FFE3D04" w14:textId="5777CB1F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29B84A17" w14:textId="1DFF286D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60BEAFCB" w14:textId="0E6AE28E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358212F7" w14:textId="77777777" w:rsidR="00FA1767" w:rsidRPr="00A231F1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1800B3E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6E02F345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023B8C8D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18BBD70" w14:textId="0E5A9FD7" w:rsidR="00A231F1" w:rsidRPr="00DF6950" w:rsidRDefault="00DF6950" w:rsidP="0013421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Λογγίνος Αντωνίου</w:t>
      </w:r>
    </w:p>
    <w:p w14:paraId="28EF3EB8" w14:textId="1AE5638E" w:rsidR="00A231F1" w:rsidRPr="00A231F1" w:rsidRDefault="00A231F1" w:rsidP="00134210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>Συντονιστής Επιτροπής</w:t>
      </w:r>
      <w:r w:rsidR="00134210">
        <w:rPr>
          <w:rFonts w:cs="Arial"/>
          <w:sz w:val="22"/>
          <w:szCs w:val="22"/>
          <w:lang w:val="el-GR"/>
        </w:rPr>
        <w:t xml:space="preserve"> Αξιολόγησης</w:t>
      </w:r>
    </w:p>
    <w:p w14:paraId="7D45D8D4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sectPr w:rsidR="00A231F1" w:rsidRPr="00A231F1" w:rsidSect="007E1F28">
      <w:footerReference w:type="default" r:id="rId11"/>
      <w:pgSz w:w="11907" w:h="16839" w:code="9"/>
      <w:pgMar w:top="70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C969" w14:textId="77777777" w:rsidR="00597E1F" w:rsidRDefault="00597E1F" w:rsidP="00694190">
      <w:r>
        <w:separator/>
      </w:r>
    </w:p>
  </w:endnote>
  <w:endnote w:type="continuationSeparator" w:id="0">
    <w:p w14:paraId="4E64B09A" w14:textId="77777777" w:rsidR="00597E1F" w:rsidRDefault="00597E1F" w:rsidP="006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BAA6" w14:textId="07ED208F" w:rsidR="000425CA" w:rsidRPr="000425CA" w:rsidRDefault="00454E05" w:rsidP="000425CA">
    <w:pPr>
      <w:pBdr>
        <w:bottom w:val="single" w:sz="6" w:space="4" w:color="auto"/>
      </w:pBdr>
      <w:rPr>
        <w:rFonts w:ascii="Tahoma" w:hAnsi="Tahoma" w:cs="Tahoma"/>
        <w:sz w:val="12"/>
        <w:szCs w:val="12"/>
        <w:lang w:val="el-GR"/>
      </w:rPr>
    </w:pPr>
    <w:r>
      <w:rPr>
        <w:rFonts w:ascii="Tahoma" w:hAnsi="Tahoma" w:cs="Tahoma"/>
        <w:sz w:val="12"/>
        <w:szCs w:val="12"/>
        <w:lang w:val="el-GR"/>
      </w:rPr>
      <w:t>Λ.Α</w:t>
    </w:r>
  </w:p>
  <w:p w14:paraId="52E82ACD" w14:textId="77777777" w:rsidR="000425CA" w:rsidRPr="0083012C" w:rsidRDefault="000425CA" w:rsidP="000425CA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0425CA" w:rsidRPr="00840842" w14:paraId="02B951E5" w14:textId="77777777" w:rsidTr="00A26C6A">
      <w:trPr>
        <w:trHeight w:val="850"/>
      </w:trPr>
      <w:tc>
        <w:tcPr>
          <w:tcW w:w="1101" w:type="dxa"/>
        </w:tcPr>
        <w:p w14:paraId="2FBED2AA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2F86E4DF" wp14:editId="6506FF26">
                <wp:extent cx="443865" cy="504825"/>
                <wp:effectExtent l="0" t="0" r="0" b="0"/>
                <wp:docPr id="16" name="Picture 16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14:paraId="46A49594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5877413A" wp14:editId="720E218A">
                <wp:extent cx="504825" cy="491490"/>
                <wp:effectExtent l="0" t="0" r="0" b="0"/>
                <wp:docPr id="17" name="Picture 17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Merge w:val="restart"/>
          <w:vAlign w:val="center"/>
        </w:tcPr>
        <w:p w14:paraId="330B3618" w14:textId="77777777" w:rsidR="000425CA" w:rsidRPr="004D6A71" w:rsidRDefault="000425CA" w:rsidP="000425CA">
          <w:pPr>
            <w:pStyle w:val="Heading7"/>
            <w:ind w:right="-717"/>
            <w:rPr>
              <w:i w:val="0"/>
              <w:lang w:val="el-GR"/>
            </w:rPr>
          </w:pPr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Λεωφ. Αγίου Ιλαρίωνος, Καΐμακλι, 1426 Λευκωσία,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Ταχ. Θυρ. 29669, 1722 Λευκωσία</w:t>
          </w:r>
        </w:p>
        <w:p w14:paraId="5026FCB3" w14:textId="77777777" w:rsidR="000425CA" w:rsidRPr="00E60687" w:rsidRDefault="000425CA" w:rsidP="000425CA">
          <w:pPr>
            <w:pStyle w:val="Heading7"/>
            <w:ind w:right="-717"/>
            <w:rPr>
              <w:i w:val="0"/>
              <w:lang w:val="en-US"/>
            </w:rPr>
          </w:pP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0425CA" w:rsidRPr="00D375C2" w14:paraId="6378837B" w14:textId="77777777" w:rsidTr="00A26C6A">
      <w:trPr>
        <w:trHeight w:val="183"/>
      </w:trPr>
      <w:tc>
        <w:tcPr>
          <w:tcW w:w="1101" w:type="dxa"/>
          <w:vAlign w:val="center"/>
        </w:tcPr>
        <w:p w14:paraId="1A878321" w14:textId="77777777" w:rsidR="000425CA" w:rsidRPr="00F438A6" w:rsidRDefault="000425CA" w:rsidP="000425CA">
          <w:pPr>
            <w:pStyle w:val="Heading7"/>
            <w:ind w:right="-717"/>
            <w:rPr>
              <w:i w:val="0"/>
              <w:sz w:val="12"/>
              <w:szCs w:val="12"/>
            </w:rPr>
          </w:pPr>
          <w:r w:rsidRPr="00E60687">
            <w:rPr>
              <w:i w:val="0"/>
              <w:sz w:val="12"/>
              <w:szCs w:val="12"/>
              <w:lang w:val="en-US"/>
            </w:rPr>
            <w:t xml:space="preserve">  </w:t>
          </w:r>
          <w:r>
            <w:rPr>
              <w:i w:val="0"/>
              <w:sz w:val="12"/>
              <w:szCs w:val="12"/>
            </w:rPr>
            <w:t>EMS. 16.002</w:t>
          </w:r>
        </w:p>
      </w:tc>
      <w:tc>
        <w:tcPr>
          <w:tcW w:w="1167" w:type="dxa"/>
        </w:tcPr>
        <w:p w14:paraId="5BBE40A9" w14:textId="77777777" w:rsidR="000425CA" w:rsidRPr="00D375C2" w:rsidRDefault="000425CA" w:rsidP="000425CA">
          <w:pPr>
            <w:pStyle w:val="Heading7"/>
            <w:ind w:right="-717"/>
            <w:jc w:val="center"/>
            <w:rPr>
              <w:i w:val="0"/>
            </w:rPr>
          </w:pPr>
        </w:p>
      </w:tc>
      <w:tc>
        <w:tcPr>
          <w:tcW w:w="7479" w:type="dxa"/>
          <w:vMerge/>
          <w:vAlign w:val="center"/>
        </w:tcPr>
        <w:p w14:paraId="2CC382AA" w14:textId="77777777" w:rsidR="000425CA" w:rsidRPr="00D375C2" w:rsidRDefault="000425CA" w:rsidP="000425CA">
          <w:pPr>
            <w:pStyle w:val="Heading7"/>
            <w:ind w:right="-717"/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</w:pPr>
        </w:p>
      </w:tc>
    </w:tr>
  </w:tbl>
  <w:p w14:paraId="2158E9B7" w14:textId="77777777" w:rsidR="00694190" w:rsidRPr="000425CA" w:rsidRDefault="00694190" w:rsidP="0004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B2EE" w14:textId="77777777" w:rsidR="00597E1F" w:rsidRDefault="00597E1F" w:rsidP="00694190">
      <w:r>
        <w:separator/>
      </w:r>
    </w:p>
  </w:footnote>
  <w:footnote w:type="continuationSeparator" w:id="0">
    <w:p w14:paraId="4B0DBB8C" w14:textId="77777777" w:rsidR="00597E1F" w:rsidRDefault="00597E1F" w:rsidP="0069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5F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A47"/>
    <w:multiLevelType w:val="hybridMultilevel"/>
    <w:tmpl w:val="1B3AC132"/>
    <w:lvl w:ilvl="0" w:tplc="D374A8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40BDD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3616A"/>
    <w:multiLevelType w:val="hybridMultilevel"/>
    <w:tmpl w:val="169A796A"/>
    <w:lvl w:ilvl="0" w:tplc="A15018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306C58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7D5EA8"/>
    <w:multiLevelType w:val="hybridMultilevel"/>
    <w:tmpl w:val="7DB878EE"/>
    <w:lvl w:ilvl="0" w:tplc="9CB8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0"/>
    <w:rsid w:val="00016E5B"/>
    <w:rsid w:val="000425CA"/>
    <w:rsid w:val="00044E8F"/>
    <w:rsid w:val="00045E12"/>
    <w:rsid w:val="00053717"/>
    <w:rsid w:val="00075683"/>
    <w:rsid w:val="000834B6"/>
    <w:rsid w:val="00085598"/>
    <w:rsid w:val="000877ED"/>
    <w:rsid w:val="000A09E4"/>
    <w:rsid w:val="000E6165"/>
    <w:rsid w:val="000F175A"/>
    <w:rsid w:val="001058A3"/>
    <w:rsid w:val="00134210"/>
    <w:rsid w:val="001772EE"/>
    <w:rsid w:val="0019616A"/>
    <w:rsid w:val="001A4CD8"/>
    <w:rsid w:val="001C52C9"/>
    <w:rsid w:val="00202AAB"/>
    <w:rsid w:val="0021063E"/>
    <w:rsid w:val="002242BA"/>
    <w:rsid w:val="002243F9"/>
    <w:rsid w:val="00227A9A"/>
    <w:rsid w:val="00234045"/>
    <w:rsid w:val="002439CB"/>
    <w:rsid w:val="00255F6D"/>
    <w:rsid w:val="00256299"/>
    <w:rsid w:val="00264DEC"/>
    <w:rsid w:val="00270A04"/>
    <w:rsid w:val="002855F1"/>
    <w:rsid w:val="0029707F"/>
    <w:rsid w:val="002A3628"/>
    <w:rsid w:val="002B0F62"/>
    <w:rsid w:val="002C065B"/>
    <w:rsid w:val="002E335B"/>
    <w:rsid w:val="002E4C57"/>
    <w:rsid w:val="00301CF7"/>
    <w:rsid w:val="003054C9"/>
    <w:rsid w:val="003071F6"/>
    <w:rsid w:val="00310E8A"/>
    <w:rsid w:val="003725DC"/>
    <w:rsid w:val="00373D94"/>
    <w:rsid w:val="00383E6D"/>
    <w:rsid w:val="003A506B"/>
    <w:rsid w:val="003B29AC"/>
    <w:rsid w:val="003B7A8F"/>
    <w:rsid w:val="003F743B"/>
    <w:rsid w:val="00400C5E"/>
    <w:rsid w:val="004079BE"/>
    <w:rsid w:val="004127D4"/>
    <w:rsid w:val="00417913"/>
    <w:rsid w:val="00454E05"/>
    <w:rsid w:val="00471B70"/>
    <w:rsid w:val="004A5383"/>
    <w:rsid w:val="004A55E0"/>
    <w:rsid w:val="004B7E27"/>
    <w:rsid w:val="004C3179"/>
    <w:rsid w:val="004D22AC"/>
    <w:rsid w:val="004E6FC4"/>
    <w:rsid w:val="005051B9"/>
    <w:rsid w:val="00513346"/>
    <w:rsid w:val="00516479"/>
    <w:rsid w:val="00517A85"/>
    <w:rsid w:val="00534982"/>
    <w:rsid w:val="005414A7"/>
    <w:rsid w:val="00561690"/>
    <w:rsid w:val="00573438"/>
    <w:rsid w:val="005904F0"/>
    <w:rsid w:val="00597E1F"/>
    <w:rsid w:val="005B610B"/>
    <w:rsid w:val="005C6446"/>
    <w:rsid w:val="005F796D"/>
    <w:rsid w:val="00626472"/>
    <w:rsid w:val="006375AA"/>
    <w:rsid w:val="00674EFD"/>
    <w:rsid w:val="006900E9"/>
    <w:rsid w:val="00692A43"/>
    <w:rsid w:val="00694190"/>
    <w:rsid w:val="006A13EF"/>
    <w:rsid w:val="006B0D3A"/>
    <w:rsid w:val="006C74D1"/>
    <w:rsid w:val="006D480B"/>
    <w:rsid w:val="007517CD"/>
    <w:rsid w:val="00755C9F"/>
    <w:rsid w:val="00760C21"/>
    <w:rsid w:val="00771168"/>
    <w:rsid w:val="007842FD"/>
    <w:rsid w:val="007920E8"/>
    <w:rsid w:val="00795699"/>
    <w:rsid w:val="007C11D5"/>
    <w:rsid w:val="007D2587"/>
    <w:rsid w:val="007E1F28"/>
    <w:rsid w:val="007E4047"/>
    <w:rsid w:val="007F317D"/>
    <w:rsid w:val="00836D61"/>
    <w:rsid w:val="00862CD6"/>
    <w:rsid w:val="00866AA7"/>
    <w:rsid w:val="008677DF"/>
    <w:rsid w:val="008817A3"/>
    <w:rsid w:val="008A1308"/>
    <w:rsid w:val="008B3C73"/>
    <w:rsid w:val="009228EA"/>
    <w:rsid w:val="00942973"/>
    <w:rsid w:val="009612B3"/>
    <w:rsid w:val="00970C8B"/>
    <w:rsid w:val="009764F6"/>
    <w:rsid w:val="00992E55"/>
    <w:rsid w:val="009A331F"/>
    <w:rsid w:val="009C1027"/>
    <w:rsid w:val="009C7D09"/>
    <w:rsid w:val="009D61B8"/>
    <w:rsid w:val="009F0932"/>
    <w:rsid w:val="009F44DB"/>
    <w:rsid w:val="00A0310E"/>
    <w:rsid w:val="00A231F1"/>
    <w:rsid w:val="00A50069"/>
    <w:rsid w:val="00A63D45"/>
    <w:rsid w:val="00A714A6"/>
    <w:rsid w:val="00AB2CFD"/>
    <w:rsid w:val="00AB64C3"/>
    <w:rsid w:val="00AC0FE4"/>
    <w:rsid w:val="00B1460A"/>
    <w:rsid w:val="00B17DB1"/>
    <w:rsid w:val="00B4344C"/>
    <w:rsid w:val="00B84984"/>
    <w:rsid w:val="00B928BA"/>
    <w:rsid w:val="00B974FE"/>
    <w:rsid w:val="00BC063C"/>
    <w:rsid w:val="00BE0CFD"/>
    <w:rsid w:val="00BF1111"/>
    <w:rsid w:val="00C22D80"/>
    <w:rsid w:val="00C31E65"/>
    <w:rsid w:val="00C32415"/>
    <w:rsid w:val="00C40FB6"/>
    <w:rsid w:val="00C415CF"/>
    <w:rsid w:val="00C42D49"/>
    <w:rsid w:val="00CA3058"/>
    <w:rsid w:val="00CA76D0"/>
    <w:rsid w:val="00CD4425"/>
    <w:rsid w:val="00D00478"/>
    <w:rsid w:val="00D007E3"/>
    <w:rsid w:val="00D02EB8"/>
    <w:rsid w:val="00D05FDA"/>
    <w:rsid w:val="00D15B66"/>
    <w:rsid w:val="00D309A8"/>
    <w:rsid w:val="00D34C8B"/>
    <w:rsid w:val="00D46137"/>
    <w:rsid w:val="00D579FE"/>
    <w:rsid w:val="00D94193"/>
    <w:rsid w:val="00D94CE4"/>
    <w:rsid w:val="00DC3A6E"/>
    <w:rsid w:val="00DC6484"/>
    <w:rsid w:val="00DD0115"/>
    <w:rsid w:val="00DE6CF2"/>
    <w:rsid w:val="00DF6950"/>
    <w:rsid w:val="00E00208"/>
    <w:rsid w:val="00E01D48"/>
    <w:rsid w:val="00E10006"/>
    <w:rsid w:val="00E12FF9"/>
    <w:rsid w:val="00E24036"/>
    <w:rsid w:val="00E3271F"/>
    <w:rsid w:val="00E563E4"/>
    <w:rsid w:val="00E85A37"/>
    <w:rsid w:val="00EA5E3A"/>
    <w:rsid w:val="00EB7009"/>
    <w:rsid w:val="00EC0F6A"/>
    <w:rsid w:val="00ED21CA"/>
    <w:rsid w:val="00ED6A51"/>
    <w:rsid w:val="00EE2486"/>
    <w:rsid w:val="00EE614E"/>
    <w:rsid w:val="00EF472B"/>
    <w:rsid w:val="00F17B70"/>
    <w:rsid w:val="00F450EF"/>
    <w:rsid w:val="00F606E7"/>
    <w:rsid w:val="00F6781C"/>
    <w:rsid w:val="00FA1767"/>
    <w:rsid w:val="00FB383E"/>
    <w:rsid w:val="00FC01CD"/>
    <w:rsid w:val="00FC3FB1"/>
    <w:rsid w:val="00FC4762"/>
    <w:rsid w:val="00FC66AE"/>
    <w:rsid w:val="00FD0354"/>
    <w:rsid w:val="00FD5EBF"/>
    <w:rsid w:val="00FE742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EBF30"/>
  <w15:docId w15:val="{15605EAD-23B4-4D66-856E-6235403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190"/>
    <w:pPr>
      <w:keepNext/>
      <w:jc w:val="center"/>
      <w:outlineLvl w:val="0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190"/>
    <w:rPr>
      <w:rFonts w:ascii="Arial" w:eastAsia="Times New Roman" w:hAnsi="Arial" w:cs="Arial"/>
      <w:b/>
      <w:sz w:val="24"/>
      <w:szCs w:val="24"/>
      <w:lang w:val="el-GR"/>
    </w:rPr>
  </w:style>
  <w:style w:type="paragraph" w:styleId="Header">
    <w:name w:val="header"/>
    <w:basedOn w:val="Normal"/>
    <w:link w:val="HeaderChar"/>
    <w:rsid w:val="0069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19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94190"/>
    <w:rPr>
      <w:color w:val="0000FF"/>
      <w:u w:val="single"/>
    </w:rPr>
  </w:style>
  <w:style w:type="character" w:customStyle="1" w:styleId="text">
    <w:name w:val="text"/>
    <w:basedOn w:val="DefaultParagraphFont"/>
    <w:rsid w:val="00694190"/>
  </w:style>
  <w:style w:type="paragraph" w:styleId="ListParagraph">
    <w:name w:val="List Paragraph"/>
    <w:basedOn w:val="Normal"/>
    <w:uiPriority w:val="34"/>
    <w:qFormat/>
    <w:rsid w:val="0069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9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90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725DC"/>
    <w:pPr>
      <w:spacing w:after="120"/>
    </w:pPr>
    <w:rPr>
      <w:rFonts w:ascii="Times New Roman" w:hAnsi="Times New Roman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3725D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lockText">
    <w:name w:val="Block Text"/>
    <w:basedOn w:val="Normal"/>
    <w:rsid w:val="007E1F28"/>
    <w:pPr>
      <w:ind w:left="720" w:right="144"/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F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B85E-CD6C-403F-885A-EDD24647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rpapakyriakou</dc:creator>
  <cp:lastModifiedBy>Charis Charalambous</cp:lastModifiedBy>
  <cp:revision>2</cp:revision>
  <cp:lastPrinted>2021-05-25T07:32:00Z</cp:lastPrinted>
  <dcterms:created xsi:type="dcterms:W3CDTF">2022-03-11T13:48:00Z</dcterms:created>
  <dcterms:modified xsi:type="dcterms:W3CDTF">2022-03-11T13:48:00Z</dcterms:modified>
</cp:coreProperties>
</file>